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71" w:rsidRPr="0088610C" w:rsidRDefault="008C4C71" w:rsidP="008C4C71">
      <w:pPr>
        <w:spacing w:line="320" w:lineRule="exact"/>
        <w:rPr>
          <w:rFonts w:ascii="Garamond" w:hAnsi="Garamond" w:cstheme="minorHAnsi"/>
          <w:b/>
          <w:color w:val="C45911" w:themeColor="accent2" w:themeShade="BF"/>
          <w:sz w:val="28"/>
          <w:szCs w:val="22"/>
        </w:rPr>
      </w:pPr>
      <w:r w:rsidRPr="0088610C">
        <w:rPr>
          <w:rFonts w:ascii="Garamond" w:hAnsi="Garamond" w:cstheme="minorHAnsi"/>
          <w:b/>
          <w:color w:val="C45911" w:themeColor="accent2" w:themeShade="BF"/>
          <w:sz w:val="28"/>
          <w:szCs w:val="22"/>
        </w:rPr>
        <w:t>Die Steintafeln</w:t>
      </w:r>
    </w:p>
    <w:p w:rsidR="008C4C71" w:rsidRPr="0088610C" w:rsidRDefault="008C4C71" w:rsidP="008C4C71">
      <w:pPr>
        <w:spacing w:line="320" w:lineRule="exact"/>
        <w:rPr>
          <w:rFonts w:ascii="Garamond" w:eastAsia="ElegaGarmnd BT" w:hAnsi="Garamond" w:cs="Times New Roman"/>
          <w:color w:val="C45911" w:themeColor="accent2" w:themeShade="BF"/>
        </w:rPr>
      </w:pP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b/>
          <w:color w:val="C45911" w:themeColor="accent2" w:themeShade="BF"/>
          <w:szCs w:val="22"/>
        </w:rPr>
        <w:t>Orkisch in Kusliker Zeichen</w:t>
      </w:r>
      <w:r w:rsidRPr="0088610C">
        <w:rPr>
          <w:rFonts w:ascii="Garamond" w:hAnsi="Garamond" w:cstheme="minorHAnsi"/>
          <w:color w:val="C45911" w:themeColor="accent2" w:themeShade="BF"/>
          <w:szCs w:val="22"/>
        </w:rPr>
        <w:t xml:space="preserve"> (Tims Tafel):</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 xml:space="preserve">Gefertigt vom Ahnherr der Bärensteins, </w:t>
      </w:r>
      <w:r w:rsidRPr="00123812">
        <w:rPr>
          <w:rFonts w:ascii="Garamond" w:hAnsi="Garamond" w:cstheme="minorHAnsi"/>
          <w:b/>
          <w:color w:val="C45911" w:themeColor="accent2" w:themeShade="BF"/>
          <w:szCs w:val="22"/>
        </w:rPr>
        <w:t>um den Blutgeist zu rufen</w:t>
      </w:r>
      <w:r>
        <w:rPr>
          <w:rFonts w:ascii="Garamond" w:hAnsi="Garamond" w:cstheme="minorHAnsi"/>
          <w:color w:val="C45911" w:themeColor="accent2" w:themeShade="BF"/>
          <w:szCs w:val="22"/>
        </w:rPr>
        <w:t>:</w:t>
      </w:r>
    </w:p>
    <w:p w:rsidR="008C4C71" w:rsidRPr="0088610C" w:rsidRDefault="008C4C71" w:rsidP="008C4C71">
      <w:pPr>
        <w:spacing w:line="320" w:lineRule="exact"/>
        <w:rPr>
          <w:rFonts w:ascii="Garamond" w:hAnsi="Garamond" w:cstheme="minorHAnsi"/>
          <w:color w:val="C45911" w:themeColor="accent2" w:themeShade="BF"/>
          <w:szCs w:val="22"/>
        </w:rPr>
      </w:pPr>
    </w:p>
    <w:p w:rsidR="008C4C71" w:rsidRPr="0088610C" w:rsidRDefault="008C4C71" w:rsidP="008C4C71">
      <w:pPr>
        <w:spacing w:line="320" w:lineRule="exact"/>
        <w:rPr>
          <w:rFonts w:ascii="Garamond" w:hAnsi="Garamond" w:cstheme="minorHAnsi"/>
          <w:color w:val="C45911" w:themeColor="accent2" w:themeShade="BF"/>
          <w:szCs w:val="22"/>
        </w:rPr>
        <w:sectPr w:rsidR="008C4C71" w:rsidRPr="0088610C">
          <w:headerReference w:type="default" r:id="rId4"/>
          <w:pgSz w:w="11906" w:h="16838"/>
          <w:pgMar w:top="1134" w:right="1134" w:bottom="1134" w:left="1134" w:header="720" w:footer="0" w:gutter="0"/>
          <w:cols w:space="720"/>
          <w:formProt w:val="0"/>
          <w:docGrid w:linePitch="600" w:charSpace="32768"/>
        </w:sectPr>
      </w:pPr>
    </w:p>
    <w:p w:rsidR="008C4C71" w:rsidRPr="0088610C" w:rsidRDefault="008C4C71" w:rsidP="008C4C71">
      <w:pPr>
        <w:spacing w:line="320" w:lineRule="exact"/>
        <w:rPr>
          <w:rFonts w:ascii="Garamond" w:hAnsi="Garamond" w:cstheme="minorHAnsi"/>
          <w:color w:val="C45911" w:themeColor="accent2" w:themeShade="BF"/>
          <w:szCs w:val="22"/>
        </w:rPr>
      </w:pPr>
      <w:r>
        <w:rPr>
          <w:rFonts w:ascii="Garamond" w:hAnsi="Garamond" w:cstheme="minorHAnsi"/>
          <w:color w:val="C45911" w:themeColor="accent2" w:themeShade="BF"/>
          <w:szCs w:val="22"/>
        </w:rPr>
        <w:t>(</w:t>
      </w:r>
      <w:r w:rsidRPr="0088610C">
        <w:rPr>
          <w:rFonts w:ascii="Garamond" w:hAnsi="Garamond" w:cstheme="minorHAnsi"/>
          <w:color w:val="C45911" w:themeColor="accent2" w:themeShade="BF"/>
          <w:szCs w:val="22"/>
        </w:rPr>
        <w:t>„Brazoragh zur Ehr:</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Blut nährt die Macht.</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Fleisch bindet den Geist.</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Knochen halten das Siegel.</w:t>
      </w:r>
      <w:r>
        <w:rPr>
          <w:rFonts w:ascii="Garamond" w:hAnsi="Garamond" w:cstheme="minorHAnsi"/>
          <w:color w:val="C45911" w:themeColor="accent2" w:themeShade="BF"/>
          <w:szCs w:val="22"/>
        </w:rPr>
        <w:t>)*</w:t>
      </w:r>
    </w:p>
    <w:p w:rsidR="008C4C71" w:rsidRPr="00F42F07" w:rsidRDefault="008C4C71" w:rsidP="008C4C71">
      <w:pPr>
        <w:spacing w:line="320" w:lineRule="exact"/>
        <w:rPr>
          <w:rFonts w:ascii="Garamond" w:hAnsi="Garamond" w:cstheme="minorHAnsi"/>
          <w:i/>
          <w:color w:val="C45911" w:themeColor="accent2" w:themeShade="BF"/>
          <w:szCs w:val="22"/>
        </w:rPr>
      </w:pPr>
      <w:r w:rsidRPr="00A02BFF">
        <w:rPr>
          <w:rFonts w:ascii="Garamond" w:hAnsi="Garamond" w:cstheme="minorHAnsi"/>
          <w:i/>
          <w:color w:val="C45911" w:themeColor="accent2" w:themeShade="BF"/>
          <w:szCs w:val="22"/>
          <w:highlight w:val="yellow"/>
        </w:rPr>
        <w:t>*unleserlich, zu finden BOR/RON-T</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Tairachs nimmersatter Blick</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liegt auf der Schwelle,</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auf das die Toten wieder kehren.</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Wenn unter rotem Mond Blut die Steine tränkt.“</w:t>
      </w:r>
    </w:p>
    <w:p w:rsidR="008C4C71" w:rsidRPr="0088610C" w:rsidRDefault="008C4C71" w:rsidP="008C4C71">
      <w:pPr>
        <w:spacing w:line="320" w:lineRule="exact"/>
        <w:rPr>
          <w:rFonts w:ascii="Garamond" w:hAnsi="Garamond" w:cstheme="minorHAnsi"/>
          <w:color w:val="C45911" w:themeColor="accent2" w:themeShade="BF"/>
          <w:szCs w:val="22"/>
        </w:rPr>
        <w:sectPr w:rsidR="008C4C71" w:rsidRPr="0088610C" w:rsidSect="0088610C">
          <w:type w:val="continuous"/>
          <w:pgSz w:w="11906" w:h="16838"/>
          <w:pgMar w:top="1134" w:right="1134" w:bottom="1134" w:left="1134" w:header="720" w:footer="0" w:gutter="0"/>
          <w:cols w:num="2" w:space="720"/>
          <w:formProt w:val="0"/>
          <w:docGrid w:linePitch="600" w:charSpace="32768"/>
        </w:sectPr>
      </w:pPr>
    </w:p>
    <w:p w:rsidR="008C4C71" w:rsidRPr="00F42F07" w:rsidRDefault="008C4C71" w:rsidP="008C4C71">
      <w:pPr>
        <w:spacing w:line="320" w:lineRule="exact"/>
        <w:rPr>
          <w:rFonts w:ascii="Garamond" w:hAnsi="Garamond" w:cstheme="minorHAnsi"/>
          <w:color w:val="C45911" w:themeColor="accent2" w:themeShade="BF"/>
          <w:szCs w:val="22"/>
        </w:rPr>
      </w:pPr>
    </w:p>
    <w:p w:rsidR="008C4C71" w:rsidRPr="00F42F07" w:rsidRDefault="008C4C71" w:rsidP="008C4C71">
      <w:pPr>
        <w:spacing w:line="320" w:lineRule="exact"/>
        <w:rPr>
          <w:rFonts w:ascii="Garamond" w:hAnsi="Garamond" w:cstheme="minorHAnsi"/>
          <w:color w:val="C45911" w:themeColor="accent2" w:themeShade="BF"/>
          <w:szCs w:val="22"/>
        </w:rPr>
      </w:pPr>
    </w:p>
    <w:p w:rsidR="008C4C71" w:rsidRPr="0088610C" w:rsidRDefault="008C4C71" w:rsidP="008C4C71">
      <w:pPr>
        <w:spacing w:line="320" w:lineRule="exact"/>
        <w:rPr>
          <w:rFonts w:ascii="Garamond" w:hAnsi="Garamond" w:cstheme="minorHAnsi"/>
          <w:b/>
          <w:color w:val="C45911" w:themeColor="accent2" w:themeShade="BF"/>
          <w:szCs w:val="22"/>
        </w:rPr>
      </w:pPr>
      <w:r w:rsidRPr="0088610C">
        <w:rPr>
          <w:rFonts w:ascii="Garamond" w:hAnsi="Garamond" w:cstheme="minorHAnsi"/>
          <w:b/>
          <w:color w:val="C45911" w:themeColor="accent2" w:themeShade="BF"/>
          <w:szCs w:val="22"/>
        </w:rPr>
        <w:t>Rondrianische Tafel, Herkunft: Kurz vor Beginn der Priesterkaiserzeit:</w:t>
      </w:r>
    </w:p>
    <w:p w:rsidR="008C4C71"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Herkunft: es gab einen uralten Rondratempel in Espen</w:t>
      </w:r>
      <w:r>
        <w:rPr>
          <w:rFonts w:ascii="Garamond" w:hAnsi="Garamond" w:cstheme="minorHAnsi"/>
          <w:color w:val="C45911" w:themeColor="accent2" w:themeShade="BF"/>
          <w:szCs w:val="22"/>
        </w:rPr>
        <w:t>, aus der Theaterritterzeit, der im Nachgang von den Priesterkaisern/ Sonnenlegion zerstört wurde</w:t>
      </w:r>
      <w:r w:rsidRPr="0088610C">
        <w:rPr>
          <w:rFonts w:ascii="Garamond" w:hAnsi="Garamond" w:cstheme="minorHAnsi"/>
          <w:color w:val="C45911" w:themeColor="accent2" w:themeShade="BF"/>
          <w:szCs w:val="22"/>
        </w:rPr>
        <w:t xml:space="preserve">. </w:t>
      </w:r>
      <w:r w:rsidRPr="00061B2F">
        <w:rPr>
          <w:rFonts w:ascii="Garamond" w:hAnsi="Garamond" w:cstheme="minorHAnsi"/>
          <w:color w:val="C45911" w:themeColor="accent2" w:themeShade="BF"/>
          <w:szCs w:val="22"/>
          <w:highlight w:val="yellow"/>
        </w:rPr>
        <w:t>Die Geweihten erkannten die Gefahr, allerdings hatten sie „gerade andere Sorgen: ihr Orden war im Niedergang, die Priesterkaiser rissen die Macht an sich. Also wollten sie den „Orkstein“ versiegeln, bis sie mehr Zeit und Kraft hatten, das Übel darunter zu bannen. Sie ließen eine Steinplatte als eine Art „Plombe“ anfertigen, mit der Anleitung, wie die drohende Finsternis einst zu rufen wäre, um sie final zu vernichten. Dabei versicherten sie sich der Hilfe eines Borongeweihten aus Altnorden und einer lokalen Perainegeweihten. Gemeinsam brachten sie die Tafel als erneuerten Schutz an. Kurz danach wurden die Rondrianer von der Sonnenlegion zu Tode gefoltert und ihr Tempel geschliffen. Das Wissen um Tafel</w:t>
      </w:r>
      <w:r>
        <w:rPr>
          <w:rFonts w:ascii="Garamond" w:hAnsi="Garamond" w:cstheme="minorHAnsi"/>
          <w:color w:val="C45911" w:themeColor="accent2" w:themeShade="BF"/>
          <w:szCs w:val="22"/>
          <w:highlight w:val="yellow"/>
        </w:rPr>
        <w:t xml:space="preserve"> und Bedrohung</w:t>
      </w:r>
      <w:r w:rsidRPr="00061B2F">
        <w:rPr>
          <w:rFonts w:ascii="Garamond" w:hAnsi="Garamond" w:cstheme="minorHAnsi"/>
          <w:color w:val="C45911" w:themeColor="accent2" w:themeShade="BF"/>
          <w:szCs w:val="22"/>
          <w:highlight w:val="yellow"/>
        </w:rPr>
        <w:t xml:space="preserve"> ging verloren.</w:t>
      </w:r>
    </w:p>
    <w:p w:rsidR="008C4C71"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Die Ruinen</w:t>
      </w:r>
      <w:r>
        <w:rPr>
          <w:rFonts w:ascii="Garamond" w:hAnsi="Garamond" w:cstheme="minorHAnsi"/>
          <w:color w:val="C45911" w:themeColor="accent2" w:themeShade="BF"/>
          <w:szCs w:val="22"/>
        </w:rPr>
        <w:t xml:space="preserve"> des Rondratempels</w:t>
      </w:r>
      <w:r w:rsidRPr="0088610C">
        <w:rPr>
          <w:rFonts w:ascii="Garamond" w:hAnsi="Garamond" w:cstheme="minorHAnsi"/>
          <w:color w:val="C45911" w:themeColor="accent2" w:themeShade="BF"/>
          <w:szCs w:val="22"/>
        </w:rPr>
        <w:t xml:space="preserve"> sind unweit von Espen noch zu sehen.</w:t>
      </w:r>
    </w:p>
    <w:p w:rsidR="008C4C71" w:rsidRPr="0088610C" w:rsidRDefault="008C4C71" w:rsidP="008C4C71">
      <w:pPr>
        <w:spacing w:line="320" w:lineRule="exact"/>
        <w:rPr>
          <w:rFonts w:ascii="Garamond" w:hAnsi="Garamond" w:cstheme="minorHAnsi"/>
          <w:color w:val="C45911" w:themeColor="accent2" w:themeShade="BF"/>
          <w:szCs w:val="22"/>
        </w:rPr>
      </w:pPr>
    </w:p>
    <w:p w:rsidR="008C4C71" w:rsidRPr="0088610C" w:rsidRDefault="008C4C71" w:rsidP="008C4C71">
      <w:pPr>
        <w:spacing w:line="320" w:lineRule="exact"/>
        <w:rPr>
          <w:rFonts w:ascii="Garamond" w:hAnsi="Garamond" w:cstheme="minorHAnsi"/>
          <w:color w:val="C45911" w:themeColor="accent2" w:themeShade="BF"/>
          <w:szCs w:val="22"/>
        </w:rPr>
      </w:pPr>
    </w:p>
    <w:p w:rsidR="008C4C71" w:rsidRPr="0088610C" w:rsidRDefault="008C4C71" w:rsidP="008C4C71">
      <w:pPr>
        <w:spacing w:line="320" w:lineRule="exact"/>
        <w:rPr>
          <w:rFonts w:ascii="Garamond" w:hAnsi="Garamond" w:cstheme="minorHAnsi"/>
          <w:color w:val="C45911" w:themeColor="accent2" w:themeShade="BF"/>
          <w:szCs w:val="22"/>
        </w:rPr>
        <w:sectPr w:rsidR="008C4C71" w:rsidRPr="0088610C" w:rsidSect="0088610C">
          <w:type w:val="continuous"/>
          <w:pgSz w:w="11906" w:h="16838"/>
          <w:pgMar w:top="1134" w:right="1134" w:bottom="1134" w:left="1134" w:header="720" w:footer="0" w:gutter="0"/>
          <w:cols w:space="720"/>
          <w:formProt w:val="0"/>
          <w:docGrid w:linePitch="600" w:charSpace="32768"/>
        </w:sectPr>
      </w:pP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„In der Tiefe harrt die Finsternis,</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unter blutgesiegeltem Stein.</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Zweimal Mal ward er versiegelt,</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mit Blut und Schmerz und Tod.</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Zweimal, heilig!</w:t>
      </w:r>
      <w:r>
        <w:rPr>
          <w:rFonts w:ascii="Garamond" w:hAnsi="Garamond" w:cstheme="minorHAnsi"/>
          <w:color w:val="C45911" w:themeColor="accent2" w:themeShade="BF"/>
          <w:szCs w:val="22"/>
        </w:rPr>
        <w:t xml:space="preserve"> (Katja(</w:t>
      </w:r>
    </w:p>
    <w:p w:rsidR="008C4C71" w:rsidRPr="0088610C" w:rsidRDefault="008C4C71" w:rsidP="008C4C71">
      <w:pPr>
        <w:spacing w:line="320" w:lineRule="exact"/>
        <w:rPr>
          <w:rFonts w:ascii="Garamond" w:eastAsia="ElegaGarmnd BT" w:hAnsi="Garamond" w:cs="Times New Roman"/>
          <w:color w:val="C45911" w:themeColor="accent2" w:themeShade="BF"/>
        </w:rPr>
      </w:pP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Um die Finsternis hinter dem Siegel zu wehren,</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 xml:space="preserve">benetze es mit Blut, das </w:t>
      </w:r>
      <w:r>
        <w:rPr>
          <w:rFonts w:ascii="Garamond" w:hAnsi="Garamond" w:cstheme="minorHAnsi"/>
          <w:color w:val="C45911" w:themeColor="accent2" w:themeShade="BF"/>
          <w:szCs w:val="22"/>
        </w:rPr>
        <w:t>niemals lebte,</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nähre es mit Fleisch, das niemals starb,</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ritze es mit Knochen, die niemals ruhten.</w:t>
      </w:r>
    </w:p>
    <w:p w:rsidR="008C4C71" w:rsidRPr="0088610C" w:rsidRDefault="008C4C71" w:rsidP="008C4C71">
      <w:pPr>
        <w:spacing w:line="320" w:lineRule="exact"/>
        <w:rPr>
          <w:rFonts w:ascii="Garamond" w:hAnsi="Garamond" w:cstheme="minorHAnsi"/>
          <w:color w:val="C45911" w:themeColor="accent2" w:themeShade="BF"/>
          <w:szCs w:val="22"/>
        </w:rPr>
      </w:pPr>
      <w:r w:rsidRPr="0088610C">
        <w:rPr>
          <w:rFonts w:ascii="Garamond" w:hAnsi="Garamond" w:cstheme="minorHAnsi"/>
          <w:color w:val="C45911" w:themeColor="accent2" w:themeShade="BF"/>
          <w:szCs w:val="22"/>
        </w:rPr>
        <w:t>Zweimal, heilig!“</w:t>
      </w:r>
      <w:r>
        <w:rPr>
          <w:rFonts w:ascii="Garamond" w:hAnsi="Garamond" w:cstheme="minorHAnsi"/>
          <w:color w:val="C45911" w:themeColor="accent2" w:themeShade="BF"/>
          <w:szCs w:val="22"/>
        </w:rPr>
        <w:t xml:space="preserve"> (Ingo)</w:t>
      </w:r>
    </w:p>
    <w:p w:rsidR="008C4C71" w:rsidRPr="0088610C" w:rsidRDefault="008C4C71" w:rsidP="008C4C71">
      <w:pPr>
        <w:spacing w:line="320" w:lineRule="exact"/>
        <w:rPr>
          <w:rFonts w:ascii="Garamond" w:hAnsi="Garamond" w:cstheme="minorHAnsi"/>
          <w:color w:val="C45911" w:themeColor="accent2" w:themeShade="BF"/>
          <w:szCs w:val="22"/>
        </w:rPr>
        <w:sectPr w:rsidR="008C4C71" w:rsidRPr="0088610C" w:rsidSect="0088610C">
          <w:type w:val="continuous"/>
          <w:pgSz w:w="11906" w:h="16838"/>
          <w:pgMar w:top="1134" w:right="1134" w:bottom="1134" w:left="1134" w:header="720" w:footer="0" w:gutter="0"/>
          <w:cols w:num="2" w:space="720"/>
          <w:formProt w:val="0"/>
          <w:docGrid w:linePitch="600" w:charSpace="32768"/>
        </w:sectPr>
      </w:pPr>
    </w:p>
    <w:p w:rsidR="008C4C71" w:rsidRPr="00C23B58" w:rsidRDefault="008C4C71" w:rsidP="008C4C71">
      <w:pPr>
        <w:spacing w:line="320" w:lineRule="exact"/>
        <w:rPr>
          <w:rFonts w:ascii="Garamond" w:hAnsi="Garamond" w:cstheme="minorHAnsi"/>
          <w:b/>
          <w:color w:val="C45911" w:themeColor="accent2" w:themeShade="BF"/>
          <w:szCs w:val="22"/>
        </w:rPr>
      </w:pPr>
      <w:r w:rsidRPr="00C23B58">
        <w:rPr>
          <w:rFonts w:ascii="Garamond" w:hAnsi="Garamond" w:cstheme="minorHAnsi"/>
          <w:b/>
          <w:color w:val="C45911" w:themeColor="accent2" w:themeShade="BF"/>
          <w:szCs w:val="22"/>
        </w:rPr>
        <w:lastRenderedPageBreak/>
        <w:t>Überlegungen zur Bedeutung dieser Worte:</w:t>
      </w:r>
    </w:p>
    <w:p w:rsidR="008C4C71" w:rsidRPr="00C23B58" w:rsidRDefault="008C4C71" w:rsidP="008C4C71">
      <w:pPr>
        <w:spacing w:line="320" w:lineRule="exact"/>
        <w:ind w:left="60"/>
        <w:rPr>
          <w:rFonts w:ascii="Garamond" w:hAnsi="Garamond" w:cstheme="minorHAnsi"/>
          <w:color w:val="C45911" w:themeColor="accent2" w:themeShade="BF"/>
          <w:szCs w:val="22"/>
          <w:u w:val="single"/>
        </w:rPr>
      </w:pPr>
      <w:r w:rsidRPr="00C23B58">
        <w:rPr>
          <w:rFonts w:ascii="Garamond" w:hAnsi="Garamond" w:cstheme="minorHAnsi"/>
          <w:color w:val="C45911" w:themeColor="accent2" w:themeShade="BF"/>
          <w:szCs w:val="22"/>
          <w:u w:val="single"/>
        </w:rPr>
        <w:t>1. Strophe:</w:t>
      </w:r>
    </w:p>
    <w:p w:rsidR="008C4C71"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Der ursprüngliche Stein (orkisch in Kusliker Zeichen) wurde mit Blut gesiegelt und das mindestens 2x</w:t>
      </w:r>
    </w:p>
    <w:p w:rsidR="008C4C71"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 xml:space="preserve">1x, als er ursprünglich gesetzt wurde (das ist eine reine Annahme der Rondrageweihten), ein 2.x als die Rondrianer ihn entdeckt haben. </w:t>
      </w:r>
      <w:r w:rsidRPr="00C23B58">
        <w:rPr>
          <w:rFonts w:ascii="Garamond" w:hAnsi="Garamond" w:cstheme="minorHAnsi"/>
          <w:color w:val="C45911" w:themeColor="accent2" w:themeShade="BF"/>
          <w:szCs w:val="22"/>
        </w:rPr>
        <w:sym w:font="Wingdings" w:char="F0E8"/>
      </w:r>
      <w:r>
        <w:rPr>
          <w:rFonts w:ascii="Garamond" w:hAnsi="Garamond" w:cstheme="minorHAnsi"/>
          <w:color w:val="C45911" w:themeColor="accent2" w:themeShade="BF"/>
          <w:szCs w:val="22"/>
        </w:rPr>
        <w:t xml:space="preserve"> Für sie ist es ein rondragefälliges Blutopfer gewesen, mit dem die ihre Göttin um deren Schutz bitten.</w:t>
      </w:r>
    </w:p>
    <w:p w:rsidR="008C4C71"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 xml:space="preserve">„Mit Blut und Schmerz“ stimmt, weil es weh tut, sich zu schneiden. „Mit Tod“ ist eine Annahme/ Übertreibung. ;-) </w:t>
      </w:r>
    </w:p>
    <w:p w:rsidR="008C4C71" w:rsidRPr="00C23B58"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„Zweimal, eilig!“ ist eine gebräuchliche rondrianische Schlussformel/ Bekräftigung, weil 2 die heilige Zahl ist (Hintergrund siehe RondraVademecum).</w:t>
      </w:r>
    </w:p>
    <w:p w:rsidR="008C4C71" w:rsidRPr="00C23B58" w:rsidRDefault="008C4C71" w:rsidP="008C4C71">
      <w:pPr>
        <w:spacing w:line="320" w:lineRule="exact"/>
        <w:ind w:left="60"/>
        <w:rPr>
          <w:rFonts w:ascii="Garamond" w:hAnsi="Garamond" w:cstheme="minorHAnsi"/>
          <w:color w:val="C45911" w:themeColor="accent2" w:themeShade="BF"/>
          <w:szCs w:val="22"/>
        </w:rPr>
      </w:pPr>
    </w:p>
    <w:p w:rsidR="008C4C71" w:rsidRDefault="008C4C71" w:rsidP="008C4C71">
      <w:pPr>
        <w:spacing w:line="320" w:lineRule="exact"/>
        <w:ind w:left="60"/>
        <w:rPr>
          <w:rFonts w:ascii="Garamond" w:hAnsi="Garamond" w:cstheme="minorHAnsi"/>
          <w:color w:val="C45911" w:themeColor="accent2" w:themeShade="BF"/>
          <w:szCs w:val="22"/>
          <w:u w:val="single"/>
        </w:rPr>
      </w:pPr>
      <w:r>
        <w:rPr>
          <w:rFonts w:ascii="Garamond" w:hAnsi="Garamond" w:cstheme="minorHAnsi"/>
          <w:color w:val="C45911" w:themeColor="accent2" w:themeShade="BF"/>
          <w:szCs w:val="22"/>
          <w:u w:val="single"/>
        </w:rPr>
        <w:t>2</w:t>
      </w:r>
      <w:r w:rsidRPr="00C23B58">
        <w:rPr>
          <w:rFonts w:ascii="Garamond" w:hAnsi="Garamond" w:cstheme="minorHAnsi"/>
          <w:color w:val="C45911" w:themeColor="accent2" w:themeShade="BF"/>
          <w:szCs w:val="22"/>
          <w:u w:val="single"/>
        </w:rPr>
        <w:t>. Strophe:</w:t>
      </w:r>
    </w:p>
    <w:p w:rsidR="008C4C71"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Verschwurbelte „Mystik“, die nur Eingeweihte verstehen oder ergründen können:</w:t>
      </w:r>
    </w:p>
    <w:p w:rsidR="008C4C71" w:rsidRPr="00C23B58" w:rsidRDefault="008C4C71" w:rsidP="008C4C71">
      <w:pPr>
        <w:spacing w:line="320" w:lineRule="exact"/>
        <w:ind w:left="60"/>
        <w:rPr>
          <w:rFonts w:ascii="Garamond" w:hAnsi="Garamond" w:cstheme="minorHAnsi"/>
          <w:color w:val="C45911" w:themeColor="accent2" w:themeShade="BF"/>
          <w:szCs w:val="22"/>
        </w:rPr>
      </w:pPr>
    </w:p>
    <w:p w:rsidR="008C4C71" w:rsidRDefault="008C4C71" w:rsidP="008C4C71">
      <w:pPr>
        <w:spacing w:line="320" w:lineRule="exact"/>
        <w:ind w:left="60"/>
        <w:rPr>
          <w:rFonts w:ascii="Garamond" w:hAnsi="Garamond" w:cstheme="minorHAnsi"/>
          <w:color w:val="C45911" w:themeColor="accent2" w:themeShade="BF"/>
          <w:szCs w:val="22"/>
        </w:rPr>
      </w:pPr>
      <w:r w:rsidRPr="009353EA">
        <w:rPr>
          <w:rFonts w:ascii="Garamond" w:hAnsi="Garamond" w:cstheme="minorHAnsi"/>
          <w:b/>
          <w:color w:val="C45911" w:themeColor="accent2" w:themeShade="BF"/>
          <w:szCs w:val="22"/>
        </w:rPr>
        <w:t>„benetze es mit dem Blut, das niemals lebte“</w:t>
      </w:r>
      <w:r>
        <w:rPr>
          <w:rFonts w:ascii="Garamond" w:hAnsi="Garamond" w:cstheme="minorHAnsi"/>
          <w:color w:val="C45911" w:themeColor="accent2" w:themeShade="BF"/>
          <w:szCs w:val="22"/>
        </w:rPr>
        <w:t xml:space="preserve"> – </w:t>
      </w:r>
      <w:r w:rsidRPr="00123812">
        <w:rPr>
          <w:rFonts w:ascii="Garamond" w:hAnsi="Garamond" w:cstheme="minorHAnsi"/>
          <w:color w:val="C45911" w:themeColor="accent2" w:themeShade="BF"/>
          <w:szCs w:val="22"/>
        </w:rPr>
        <w:t>R</w:t>
      </w:r>
      <w:r>
        <w:rPr>
          <w:rFonts w:ascii="Garamond" w:hAnsi="Garamond" w:cstheme="minorHAnsi"/>
          <w:color w:val="C45911" w:themeColor="accent2" w:themeShade="BF"/>
          <w:szCs w:val="22"/>
        </w:rPr>
        <w:t>ON</w:t>
      </w:r>
      <w:r w:rsidRPr="00123812">
        <w:rPr>
          <w:rFonts w:ascii="Garamond" w:hAnsi="Garamond" w:cstheme="minorHAnsi"/>
          <w:color w:val="C45911" w:themeColor="accent2" w:themeShade="BF"/>
          <w:szCs w:val="22"/>
        </w:rPr>
        <w:t xml:space="preserve"> – Ritzung </w:t>
      </w:r>
      <w:r>
        <w:rPr>
          <w:rFonts w:ascii="Garamond" w:hAnsi="Garamond" w:cstheme="minorHAnsi"/>
          <w:color w:val="C45911" w:themeColor="accent2" w:themeShade="BF"/>
          <w:szCs w:val="22"/>
        </w:rPr>
        <w:t>Schwert</w:t>
      </w:r>
    </w:p>
    <w:p w:rsidR="008C4C71" w:rsidRPr="00A02BFF" w:rsidRDefault="008C4C71" w:rsidP="008C4C71">
      <w:pPr>
        <w:spacing w:line="320" w:lineRule="exact"/>
        <w:ind w:left="60"/>
        <w:rPr>
          <w:rFonts w:ascii="Garamond" w:hAnsi="Garamond" w:cstheme="minorHAnsi"/>
          <w:color w:val="C45911" w:themeColor="accent2" w:themeShade="BF"/>
          <w:szCs w:val="22"/>
          <w:highlight w:val="yellow"/>
        </w:rPr>
      </w:pPr>
      <w:r>
        <w:rPr>
          <w:rFonts w:ascii="Garamond" w:hAnsi="Garamond" w:cstheme="minorHAnsi"/>
          <w:color w:val="C45911" w:themeColor="accent2" w:themeShade="BF"/>
          <w:szCs w:val="22"/>
        </w:rPr>
        <w:t xml:space="preserve">Unter folgendem Aspekt zu sehen: </w:t>
      </w:r>
      <w:r w:rsidRPr="00A02BFF">
        <w:rPr>
          <w:rFonts w:ascii="Garamond" w:hAnsi="Garamond" w:cstheme="minorHAnsi"/>
          <w:color w:val="C45911" w:themeColor="accent2" w:themeShade="BF"/>
          <w:szCs w:val="22"/>
          <w:highlight w:val="yellow"/>
        </w:rPr>
        <w:t>Blut ist im rondrianischen Glauben sehr wichtig, es ist das Bindeglied zwischen Mensch und Göttin. Der Glaubenssatz „Blut ist Leben – Leben ist Kampf“ ist jedem Gläubigen in Fleisch und Blut übergegangen.</w:t>
      </w:r>
    </w:p>
    <w:p w:rsidR="008C4C71" w:rsidRDefault="008C4C71" w:rsidP="008C4C71">
      <w:pPr>
        <w:spacing w:line="320" w:lineRule="exact"/>
        <w:ind w:left="60"/>
        <w:rPr>
          <w:rFonts w:ascii="Garamond" w:hAnsi="Garamond" w:cstheme="minorHAnsi"/>
          <w:color w:val="C45911" w:themeColor="accent2" w:themeShade="BF"/>
          <w:szCs w:val="22"/>
        </w:rPr>
      </w:pPr>
      <w:r w:rsidRPr="00A02BFF">
        <w:rPr>
          <w:rFonts w:ascii="Garamond" w:hAnsi="Garamond" w:cstheme="minorHAnsi"/>
          <w:color w:val="C45911" w:themeColor="accent2" w:themeShade="BF"/>
          <w:szCs w:val="22"/>
          <w:highlight w:val="yellow"/>
        </w:rPr>
        <w:t>Wer nicht kämpft, hat also streng genommen nicht gelebt. Hier aber komplexer zu verstehen. Um zu befreien, was dieser Stein bindet, ist das Blut eines friedfertigen Wesens von Nöten. Ursprünglich war es das der Perainegeweiht, die bei der Ursprungs-Zeremonie geholfen hat. Heute bedarf es freiwillig gespendeten Blutes eines Wesens, das Kampf ablehnt.</w:t>
      </w:r>
      <w:r>
        <w:rPr>
          <w:rFonts w:ascii="Garamond" w:hAnsi="Garamond" w:cstheme="minorHAnsi"/>
          <w:color w:val="C45911" w:themeColor="accent2" w:themeShade="BF"/>
          <w:szCs w:val="22"/>
        </w:rPr>
        <w:t xml:space="preserve"> Das könnte ein Tsageweihter sein, ein feinsinniger Schöngeist, eine zarte Jungfer, ein Heiler, eine Boroni … was immer die SC für Ideen haben und was passt. Benetzen bedeutet, dass wenige Tropfen ausreichen, der Stein muss davon berührt werden. Das Blut sollte allerdings frisch vergossen werden. (Katja)</w:t>
      </w:r>
    </w:p>
    <w:p w:rsidR="008C4C71" w:rsidRDefault="008C4C71" w:rsidP="008C4C71">
      <w:pPr>
        <w:spacing w:line="320" w:lineRule="exact"/>
        <w:ind w:left="60"/>
        <w:rPr>
          <w:rFonts w:ascii="Garamond" w:hAnsi="Garamond" w:cstheme="minorHAnsi"/>
          <w:color w:val="C45911" w:themeColor="accent2" w:themeShade="BF"/>
          <w:szCs w:val="22"/>
        </w:rPr>
      </w:pPr>
    </w:p>
    <w:p w:rsidR="008C4C71" w:rsidRPr="00123812" w:rsidRDefault="008C4C71" w:rsidP="008C4C71">
      <w:pPr>
        <w:tabs>
          <w:tab w:val="center" w:pos="4849"/>
        </w:tabs>
        <w:spacing w:line="320" w:lineRule="exact"/>
        <w:ind w:left="60"/>
        <w:rPr>
          <w:rFonts w:ascii="Garamond" w:hAnsi="Garamond" w:cstheme="minorHAnsi"/>
          <w:color w:val="C45911" w:themeColor="accent2" w:themeShade="BF"/>
          <w:szCs w:val="22"/>
        </w:rPr>
      </w:pPr>
      <w:r w:rsidRPr="009353EA">
        <w:rPr>
          <w:rFonts w:ascii="Garamond" w:hAnsi="Garamond" w:cstheme="minorHAnsi"/>
          <w:b/>
          <w:color w:val="C45911" w:themeColor="accent2" w:themeShade="BF"/>
          <w:szCs w:val="22"/>
        </w:rPr>
        <w:t>„nähre es mit Fleisch, das niemals starb“</w:t>
      </w:r>
      <w:r>
        <w:rPr>
          <w:rFonts w:ascii="Garamond" w:hAnsi="Garamond" w:cstheme="minorHAnsi"/>
          <w:b/>
          <w:color w:val="C45911" w:themeColor="accent2" w:themeShade="BF"/>
          <w:szCs w:val="22"/>
        </w:rPr>
        <w:t xml:space="preserve"> </w:t>
      </w:r>
      <w:r>
        <w:rPr>
          <w:rFonts w:ascii="Garamond" w:hAnsi="Garamond" w:cstheme="minorHAnsi"/>
          <w:color w:val="C45911" w:themeColor="accent2" w:themeShade="BF"/>
          <w:szCs w:val="22"/>
        </w:rPr>
        <w:t>– PER – Ritzung Ähre</w:t>
      </w:r>
    </w:p>
    <w:p w:rsidR="008C4C71" w:rsidRDefault="008C4C71" w:rsidP="008C4C71">
      <w:pPr>
        <w:spacing w:line="320" w:lineRule="exact"/>
        <w:ind w:left="60"/>
        <w:rPr>
          <w:rFonts w:ascii="Garamond" w:hAnsi="Garamond" w:cstheme="minorHAnsi"/>
          <w:color w:val="C45911" w:themeColor="accent2" w:themeShade="BF"/>
          <w:szCs w:val="22"/>
        </w:rPr>
      </w:pPr>
      <w:r>
        <w:rPr>
          <w:rFonts w:ascii="Garamond" w:hAnsi="Garamond" w:cstheme="minorHAnsi"/>
          <w:color w:val="C45911" w:themeColor="accent2" w:themeShade="BF"/>
          <w:szCs w:val="22"/>
        </w:rPr>
        <w:t>Kitzliger! Wie nährt man einen Stein? Welches Fleisch stirbt nicht, wenn man jemanden damit füttert? Auch hier muss um die Ecke gedacht werden</w:t>
      </w:r>
      <w:r w:rsidRPr="00A02BFF">
        <w:rPr>
          <w:rFonts w:ascii="Garamond" w:hAnsi="Garamond" w:cstheme="minorHAnsi"/>
          <w:color w:val="C45911" w:themeColor="accent2" w:themeShade="BF"/>
          <w:szCs w:val="22"/>
          <w:highlight w:val="yellow"/>
        </w:rPr>
        <w:t>, wenngleich die Ähre durchaus auch ein Hinweis ist, dass es um eine Pflanze geht.</w:t>
      </w:r>
      <w:r>
        <w:rPr>
          <w:rFonts w:ascii="Garamond" w:hAnsi="Garamond" w:cstheme="minorHAnsi"/>
          <w:color w:val="C45911" w:themeColor="accent2" w:themeShade="BF"/>
          <w:szCs w:val="22"/>
        </w:rPr>
        <w:t xml:space="preserve"> Dazu gibt es aber einen Hinweis in Lohenharsch: Neben den bewusstem Vers in einer alten Espener Tempelchronik, hat der längst verstorbene Schreiber das </w:t>
      </w:r>
      <w:r w:rsidRPr="00F512D9">
        <w:rPr>
          <w:rFonts w:ascii="Garamond" w:hAnsi="Garamond" w:cstheme="minorHAnsi"/>
          <w:i/>
          <w:color w:val="C45911" w:themeColor="accent2" w:themeShade="BF"/>
          <w:szCs w:val="22"/>
        </w:rPr>
        <w:t>kleine Bild einer Blume</w:t>
      </w:r>
      <w:r>
        <w:rPr>
          <w:rFonts w:ascii="Garamond" w:hAnsi="Garamond" w:cstheme="minorHAnsi"/>
          <w:color w:val="C45911" w:themeColor="accent2" w:themeShade="BF"/>
          <w:szCs w:val="22"/>
        </w:rPr>
        <w:t xml:space="preserve"> gezeichnet. Wirklich winzig. Betrachtet man es genauer, scheint es eine Lilie zu sein, komplett, mit Blatt, Stängel, Blüte und – im Verhältnis – großer Zwiebel. Lilien sind Zwiebelgewächse. Einmal gepflanzt kommen eine Lilie jedes Jahr wieder. Es scheint, als stürbe sie im Herbst und erstünde im Frühjahr neu. Es ist „Fleisch, das niemals stirbt“. Nähren ist hier so zu verstehen, dass man Lilienzwiebeln verzehrfertig auf den Stein legt. Lilien sind Rondras heilige Blume, es gibt sie überall in Weiden. In Lohenharsch gibt es besonders prächtige, die in Töpfen den Innenhof zieren. (Ingo)</w:t>
      </w:r>
    </w:p>
    <w:p w:rsidR="008C4C71" w:rsidRDefault="008C4C71" w:rsidP="008C4C71">
      <w:pPr>
        <w:spacing w:line="320" w:lineRule="exact"/>
        <w:ind w:left="60"/>
        <w:rPr>
          <w:rFonts w:ascii="Garamond" w:hAnsi="Garamond" w:cstheme="minorHAnsi"/>
          <w:color w:val="C45911" w:themeColor="accent2" w:themeShade="BF"/>
          <w:szCs w:val="22"/>
        </w:rPr>
      </w:pPr>
    </w:p>
    <w:p w:rsidR="008C4C71" w:rsidRPr="00123812" w:rsidRDefault="008C4C71" w:rsidP="008C4C71">
      <w:pPr>
        <w:spacing w:line="320" w:lineRule="exact"/>
        <w:ind w:left="60"/>
        <w:rPr>
          <w:rFonts w:ascii="Garamond" w:hAnsi="Garamond" w:cstheme="minorHAnsi"/>
          <w:color w:val="C45911" w:themeColor="accent2" w:themeShade="BF"/>
          <w:szCs w:val="22"/>
        </w:rPr>
      </w:pPr>
      <w:r w:rsidRPr="00F512D9">
        <w:rPr>
          <w:rFonts w:ascii="Garamond" w:hAnsi="Garamond" w:cstheme="minorHAnsi"/>
          <w:b/>
          <w:color w:val="C45911" w:themeColor="accent2" w:themeShade="BF"/>
          <w:szCs w:val="22"/>
        </w:rPr>
        <w:t>„ritze es mit Knochen, die niemals ruhten“</w:t>
      </w:r>
      <w:r>
        <w:rPr>
          <w:rFonts w:ascii="Garamond" w:hAnsi="Garamond" w:cstheme="minorHAnsi"/>
          <w:color w:val="C45911" w:themeColor="accent2" w:themeShade="BF"/>
          <w:szCs w:val="22"/>
        </w:rPr>
        <w:t xml:space="preserve"> – BOR - Ritzung Rabe</w:t>
      </w:r>
    </w:p>
    <w:p w:rsidR="008C4C71" w:rsidRPr="00A02BFF" w:rsidRDefault="008C4C71" w:rsidP="008C4C71">
      <w:pPr>
        <w:spacing w:line="320" w:lineRule="exact"/>
        <w:ind w:left="60"/>
        <w:rPr>
          <w:rFonts w:ascii="Garamond" w:hAnsi="Garamond" w:cstheme="minorHAnsi"/>
          <w:color w:val="C45911" w:themeColor="accent2" w:themeShade="BF"/>
          <w:szCs w:val="22"/>
          <w:highlight w:val="yellow"/>
        </w:rPr>
      </w:pPr>
      <w:r w:rsidRPr="00A02BFF">
        <w:rPr>
          <w:rFonts w:ascii="Garamond" w:hAnsi="Garamond" w:cstheme="minorHAnsi"/>
          <w:color w:val="C45911" w:themeColor="accent2" w:themeShade="BF"/>
          <w:szCs w:val="22"/>
          <w:highlight w:val="yellow"/>
        </w:rPr>
        <w:t xml:space="preserve">Wieder ein wenig Gehirnakrobatik: Der Altnordener Borontempel verfügt über eine Reliquie. Eine uralte Schreibfeder, die aus einer großen Rabenfeder besteht, deren Schaft durch einen </w:t>
      </w:r>
      <w:r w:rsidRPr="00A02BFF">
        <w:rPr>
          <w:rFonts w:ascii="Garamond" w:hAnsi="Garamond" w:cstheme="minorHAnsi"/>
          <w:color w:val="C45911" w:themeColor="accent2" w:themeShade="BF"/>
          <w:szCs w:val="22"/>
          <w:highlight w:val="yellow"/>
        </w:rPr>
        <w:lastRenderedPageBreak/>
        <w:t>Fingerknöchel gesteckt wurde, auf dem wiederum eine silberne Schreibfeder steckt. Der Knochen gehört zu einem Tagesheiligen, der bei einer borongefälligen Tat* zwei Finger verloren hat. Diese wurden vorab im Altnordener Borontempel beigesetzt, bzw. ein Knochen zu einer Reliquie umgewidmet. Mit dieser Feder wird die Tempelchronik geführt. Spirituell gelten die Fingerknochen als „Knochen, die niemals ruhten“, weil sie einem Lebenden abgeschlagen wurden.</w:t>
      </w:r>
    </w:p>
    <w:p w:rsidR="008C4C71" w:rsidRDefault="008C4C71" w:rsidP="008C4C71">
      <w:pPr>
        <w:spacing w:line="320" w:lineRule="exact"/>
        <w:ind w:left="60"/>
        <w:rPr>
          <w:rFonts w:ascii="Garamond" w:hAnsi="Garamond" w:cstheme="minorHAnsi"/>
          <w:color w:val="C45911" w:themeColor="accent2" w:themeShade="BF"/>
          <w:szCs w:val="22"/>
        </w:rPr>
      </w:pPr>
      <w:r w:rsidRPr="00A02BFF">
        <w:rPr>
          <w:rFonts w:ascii="Garamond" w:hAnsi="Garamond" w:cstheme="minorHAnsi"/>
          <w:color w:val="C45911" w:themeColor="accent2" w:themeShade="BF"/>
          <w:szCs w:val="22"/>
          <w:highlight w:val="yellow"/>
        </w:rPr>
        <w:t xml:space="preserve">*Verteidigung eines Grabes gegen einen orkischen Grabräuber. Name: </w:t>
      </w:r>
      <w:r w:rsidRPr="00A02BFF">
        <w:rPr>
          <w:rFonts w:ascii="Garamond" w:hAnsi="Garamond" w:cstheme="minorHAnsi"/>
          <w:i/>
          <w:color w:val="C45911" w:themeColor="accent2" w:themeShade="BF"/>
          <w:szCs w:val="22"/>
          <w:highlight w:val="yellow"/>
        </w:rPr>
        <w:t>Kunilaus Uhlensing</w:t>
      </w:r>
      <w:r w:rsidRPr="00A02BFF">
        <w:rPr>
          <w:rFonts w:ascii="Garamond" w:hAnsi="Garamond" w:cstheme="minorHAnsi"/>
          <w:color w:val="C45911" w:themeColor="accent2" w:themeShade="BF"/>
          <w:szCs w:val="22"/>
          <w:highlight w:val="yellow"/>
        </w:rPr>
        <w:t xml:space="preserve"> ein zu Lebzeiten wehrhafter, großer Mann und Totngräber, der seine Aufgabe sehr ernst nahm.</w:t>
      </w:r>
    </w:p>
    <w:p w:rsidR="008C4C71" w:rsidRDefault="008C4C71" w:rsidP="008C4C71">
      <w:pPr>
        <w:spacing w:line="320" w:lineRule="exact"/>
        <w:rPr>
          <w:rFonts w:ascii="Garamond" w:eastAsia="ElegaGarmnd BT" w:hAnsi="Garamond" w:cs="Times New Roman"/>
          <w:color w:val="C45911" w:themeColor="accent2" w:themeShade="BF"/>
        </w:rPr>
      </w:pPr>
    </w:p>
    <w:p w:rsidR="008C4C71" w:rsidRPr="00EE7064" w:rsidRDefault="008C4C71" w:rsidP="008C4C71">
      <w:pPr>
        <w:spacing w:line="320" w:lineRule="exact"/>
        <w:rPr>
          <w:rFonts w:ascii="Garamond" w:eastAsia="ElegaGarmnd BT" w:hAnsi="Garamond" w:cs="Times New Roman"/>
          <w:b/>
          <w:color w:val="C45911" w:themeColor="accent2" w:themeShade="BF"/>
        </w:rPr>
      </w:pPr>
      <w:r w:rsidRPr="00EE7064">
        <w:rPr>
          <w:rFonts w:ascii="Garamond" w:eastAsia="ElegaGarmnd BT" w:hAnsi="Garamond" w:cs="Times New Roman"/>
          <w:b/>
          <w:color w:val="C45911" w:themeColor="accent2" w:themeShade="BF"/>
        </w:rPr>
        <w:t>Ergebnis:</w:t>
      </w:r>
    </w:p>
    <w:p w:rsidR="008C4C71" w:rsidRDefault="008C4C71" w:rsidP="008C4C71">
      <w:pPr>
        <w:spacing w:line="320" w:lineRule="exact"/>
        <w:rPr>
          <w:rFonts w:ascii="Garamond" w:eastAsia="ElegaGarmnd BT" w:hAnsi="Garamond" w:cs="Times New Roman"/>
          <w:color w:val="C45911" w:themeColor="accent2" w:themeShade="BF"/>
        </w:rPr>
      </w:pPr>
      <w:r>
        <w:rPr>
          <w:rFonts w:ascii="Garamond" w:eastAsia="ElegaGarmnd BT" w:hAnsi="Garamond" w:cs="Times New Roman"/>
          <w:color w:val="C45911" w:themeColor="accent2" w:themeShade="BF"/>
        </w:rPr>
        <w:t xml:space="preserve">Der Stein muss mit Blut besprenkelt werden, darauf muss eine Lilienzwiebel verteilt werden und all dies </w:t>
      </w:r>
      <w:r w:rsidRPr="00A02BFF">
        <w:rPr>
          <w:rFonts w:ascii="Garamond" w:eastAsia="ElegaGarmnd BT" w:hAnsi="Garamond" w:cs="Times New Roman"/>
          <w:color w:val="C45911" w:themeColor="accent2" w:themeShade="BF"/>
          <w:highlight w:val="yellow"/>
        </w:rPr>
        <w:t xml:space="preserve">muss </w:t>
      </w:r>
      <w:r w:rsidRPr="00A02BFF">
        <w:rPr>
          <w:rFonts w:ascii="Garamond" w:hAnsi="Garamond" w:cstheme="minorHAnsi"/>
          <w:color w:val="C45911" w:themeColor="accent2" w:themeShade="BF"/>
          <w:szCs w:val="22"/>
          <w:highlight w:val="yellow"/>
        </w:rPr>
        <w:t xml:space="preserve">mit der frisch geschliffenen Schreibfeder durch Blut und Lilienstücke </w:t>
      </w:r>
      <w:r>
        <w:rPr>
          <w:rFonts w:ascii="Garamond" w:hAnsi="Garamond" w:cstheme="minorHAnsi"/>
          <w:color w:val="C45911" w:themeColor="accent2" w:themeShade="BF"/>
          <w:szCs w:val="22"/>
          <w:highlight w:val="yellow"/>
        </w:rPr>
        <w:t xml:space="preserve">durch </w:t>
      </w:r>
      <w:r w:rsidRPr="00A02BFF">
        <w:rPr>
          <w:rFonts w:ascii="Garamond" w:hAnsi="Garamond" w:cstheme="minorHAnsi"/>
          <w:color w:val="C45911" w:themeColor="accent2" w:themeShade="BF"/>
          <w:szCs w:val="22"/>
          <w:highlight w:val="yellow"/>
        </w:rPr>
        <w:t>die Zeichen von Rondra, Peraine und Boron auf den Stein geritzt werden.</w:t>
      </w:r>
    </w:p>
    <w:p w:rsidR="008C4C71" w:rsidRDefault="008C4C71" w:rsidP="008C4C71">
      <w:pPr>
        <w:spacing w:line="320" w:lineRule="exact"/>
        <w:rPr>
          <w:rFonts w:ascii="Garamond" w:eastAsia="ElegaGarmnd BT" w:hAnsi="Garamond" w:cs="Times New Roman"/>
          <w:color w:val="C45911" w:themeColor="accent2" w:themeShade="BF"/>
        </w:rPr>
      </w:pPr>
    </w:p>
    <w:p w:rsidR="008C4C71" w:rsidRDefault="008C4C71" w:rsidP="008C4C71">
      <w:pPr>
        <w:spacing w:line="320" w:lineRule="exact"/>
        <w:rPr>
          <w:rFonts w:ascii="Garamond" w:eastAsia="ElegaGarmnd BT" w:hAnsi="Garamond" w:cs="Times New Roman"/>
          <w:color w:val="C45911" w:themeColor="accent2" w:themeShade="BF"/>
        </w:rPr>
      </w:pPr>
      <w:r w:rsidRPr="00F512D9">
        <w:rPr>
          <w:rFonts w:ascii="Garamond" w:eastAsia="ElegaGarmnd BT" w:hAnsi="Garamond" w:cs="Times New Roman"/>
          <w:b/>
          <w:color w:val="C45911" w:themeColor="accent2" w:themeShade="BF"/>
        </w:rPr>
        <w:t>ABER:</w:t>
      </w:r>
      <w:r>
        <w:rPr>
          <w:rFonts w:ascii="Garamond" w:eastAsia="ElegaGarmnd BT" w:hAnsi="Garamond" w:cs="Times New Roman"/>
          <w:color w:val="C45911" w:themeColor="accent2" w:themeShade="BF"/>
        </w:rPr>
        <w:t xml:space="preserve"> das bewirkt nicht die Bannung des Geistes, sondern es ruft ihn herbei, damit er bekämpft und/ oder gebannt werden kann. Das sollte durchaus auch so als Erkenntnis stehen, unter Mithilfe von NSC-Geweihten.</w:t>
      </w:r>
    </w:p>
    <w:p w:rsidR="008C4C71" w:rsidRDefault="008C4C71" w:rsidP="008C4C71">
      <w:pPr>
        <w:spacing w:line="320" w:lineRule="exact"/>
        <w:rPr>
          <w:rFonts w:ascii="Garamond" w:eastAsia="ElegaGarmnd BT" w:hAnsi="Garamond" w:cs="Times New Roman"/>
          <w:color w:val="C45911" w:themeColor="accent2" w:themeShade="BF"/>
        </w:rPr>
      </w:pPr>
    </w:p>
    <w:p w:rsidR="008C4C71" w:rsidRDefault="008C4C71" w:rsidP="008C4C71">
      <w:pPr>
        <w:spacing w:line="320" w:lineRule="exact"/>
        <w:rPr>
          <w:rFonts w:ascii="Garamond" w:eastAsia="ElegaGarmnd BT" w:hAnsi="Garamond" w:cs="Times New Roman"/>
          <w:color w:val="C45911" w:themeColor="accent2" w:themeShade="BF"/>
        </w:rPr>
      </w:pPr>
      <w:r>
        <w:rPr>
          <w:rFonts w:ascii="Garamond" w:eastAsia="ElegaGarmnd BT" w:hAnsi="Garamond" w:cs="Times New Roman"/>
          <w:color w:val="C45911" w:themeColor="accent2" w:themeShade="BF"/>
        </w:rPr>
        <w:t>Das heißt: die Gruppen besorgen je eine Zutat und entschlüsseln das Ritual. Sie entfesseln gemeinsam den Blutgeist, damit die Geweihten ihn exorzieren können. Das können wir wunderbar erzählerisch abhandeln.</w:t>
      </w:r>
    </w:p>
    <w:p w:rsidR="00E84B58" w:rsidRDefault="00E84B58">
      <w:bookmarkStart w:id="0" w:name="_GoBack"/>
      <w:bookmarkEnd w:id="0"/>
    </w:p>
    <w:sectPr w:rsidR="00E84B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ElegaGarmnd B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12" w:rsidRDefault="008C4C71">
    <w:pPr>
      <w:pStyle w:val="Kopfzeile"/>
    </w:pPr>
    <w:r>
      <w:rPr>
        <w:noProof/>
        <w:lang w:eastAsia="de-DE" w:bidi="ar-SA"/>
      </w:rPr>
      <mc:AlternateContent>
        <mc:Choice Requires="wps">
          <w:drawing>
            <wp:anchor distT="0" distB="0" distL="0" distR="3175" simplePos="0" relativeHeight="251659264" behindDoc="1" locked="0" layoutInCell="0" allowOverlap="1" wp14:anchorId="0F6F11EA" wp14:editId="330F086A">
              <wp:simplePos x="0" y="0"/>
              <wp:positionH relativeFrom="page">
                <wp:align>right</wp:align>
              </wp:positionH>
              <wp:positionV relativeFrom="topMargin">
                <wp:align>center</wp:align>
              </wp:positionV>
              <wp:extent cx="719455" cy="173990"/>
              <wp:effectExtent l="0" t="0" r="3810" b="0"/>
              <wp:wrapNone/>
              <wp:docPr id="2" name="Textfeld 221"/>
              <wp:cNvGraphicFramePr/>
              <a:graphic xmlns:a="http://schemas.openxmlformats.org/drawingml/2006/main">
                <a:graphicData uri="http://schemas.microsoft.com/office/word/2010/wordprocessingShape">
                  <wps:wsp>
                    <wps:cNvSpPr/>
                    <wps:spPr>
                      <a:xfrm>
                        <a:off x="0" y="0"/>
                        <a:ext cx="719280" cy="173880"/>
                      </a:xfrm>
                      <a:prstGeom prst="rect">
                        <a:avLst/>
                      </a:prstGeom>
                      <a:solidFill>
                        <a:schemeClr val="accent2">
                          <a:lumMod val="75000"/>
                        </a:schemeClr>
                      </a:solidFill>
                      <a:ln w="0">
                        <a:noFill/>
                      </a:ln>
                    </wps:spPr>
                    <wps:style>
                      <a:lnRef idx="0">
                        <a:scrgbClr r="0" g="0" b="0"/>
                      </a:lnRef>
                      <a:fillRef idx="0">
                        <a:scrgbClr r="0" g="0" b="0"/>
                      </a:fillRef>
                      <a:effectRef idx="0">
                        <a:scrgbClr r="0" g="0" b="0"/>
                      </a:effectRef>
                      <a:fontRef idx="minor"/>
                    </wps:style>
                    <wps:txbx>
                      <w:txbxContent>
                        <w:p w:rsidR="00123812" w:rsidRDefault="008C4C71">
                          <w:pPr>
                            <w:pStyle w:val="Rahmeninhalt"/>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Pr>
                              <w:noProof/>
                              <w:color w:val="FFFFFF"/>
                            </w:rPr>
                            <w:t>3</w:t>
                          </w:r>
                          <w:r>
                            <w:rPr>
                              <w:color w:val="FFFFFF"/>
                            </w:rPr>
                            <w:fldChar w:fldCharType="end"/>
                          </w:r>
                        </w:p>
                      </w:txbxContent>
                    </wps:txbx>
                    <wps:bodyPr tIns="0" bIns="0" anchor="ctr" upright="1">
                      <a:spAutoFit/>
                    </wps:bodyPr>
                  </wps:wsp>
                </a:graphicData>
              </a:graphic>
              <wp14:sizeRelH relativeFrom="rightMargin">
                <wp14:pctWidth>100000</wp14:pctWidth>
              </wp14:sizeRelH>
            </wp:anchor>
          </w:drawing>
        </mc:Choice>
        <mc:Fallback>
          <w:pict>
            <v:rect w14:anchorId="0F6F11EA" id="Textfeld 221" o:spid="_x0000_s1026" style="position:absolute;margin-left:5.45pt;margin-top:0;width:56.65pt;height:13.7pt;z-index:-251657216;visibility:visible;mso-wrap-style:square;mso-width-percent:1000;mso-wrap-distance-left:0;mso-wrap-distance-top:0;mso-wrap-distance-right:.25pt;mso-wrap-distance-bottom: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" o:allowincell="f" fillcolor="#c45911 [2405]" stroked="f" strokeweight="0">
              <v:textbox style="mso-fit-shape-to-text:t" inset=",0,,0">
                <w:txbxContent>
                  <w:p w:rsidR="00123812" w:rsidRDefault="008C4C71">
                    <w:pPr>
                      <w:pStyle w:val="Rahmeninhalt"/>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Pr>
                        <w:noProof/>
                        <w:color w:val="FFFFFF"/>
                      </w:rPr>
                      <w:t>3</w:t>
                    </w:r>
                    <w:r>
                      <w:rPr>
                        <w:color w:val="FFFFFF"/>
                      </w:rPr>
                      <w:fldChar w:fldCharType="end"/>
                    </w:r>
                  </w:p>
                </w:txbxContent>
              </v:textbox>
              <w10:wrap anchorx="page" anchory="margin"/>
            </v:rect>
          </w:pict>
        </mc:Fallback>
      </mc:AlternateContent>
    </w:r>
    <w:r>
      <w:rPr>
        <w:noProof/>
        <w:lang w:eastAsia="de-DE" w:bidi="ar-SA"/>
      </w:rPr>
      <mc:AlternateContent>
        <mc:Choice Requires="wps">
          <w:drawing>
            <wp:anchor distT="0" distB="635" distL="0" distR="0" simplePos="0" relativeHeight="251660288" behindDoc="1" locked="0" layoutInCell="0" allowOverlap="1" wp14:anchorId="62C28C25" wp14:editId="5C8745C6">
              <wp:simplePos x="0" y="0"/>
              <wp:positionH relativeFrom="margin">
                <wp:align>left</wp:align>
              </wp:positionH>
              <wp:positionV relativeFrom="topMargin">
                <wp:align>center</wp:align>
              </wp:positionV>
              <wp:extent cx="6119495" cy="189230"/>
              <wp:effectExtent l="0" t="0" r="0" b="635"/>
              <wp:wrapNone/>
              <wp:docPr id="4" name="Textfeld 220"/>
              <wp:cNvGraphicFramePr/>
              <a:graphic xmlns:a="http://schemas.openxmlformats.org/drawingml/2006/main">
                <a:graphicData uri="http://schemas.microsoft.com/office/word/2010/wordprocessingShape">
                  <wps:wsp>
                    <wps:cNvSpPr/>
                    <wps:spPr>
                      <a:xfrm>
                        <a:off x="0" y="0"/>
                        <a:ext cx="6119640" cy="189360"/>
                      </a:xfrm>
                      <a:prstGeom prst="rect">
                        <a:avLst/>
                      </a:prstGeom>
                      <a:noFill/>
                      <a:ln w="0">
                        <a:noFill/>
                      </a:ln>
                    </wps:spPr>
                    <wps:style>
                      <a:lnRef idx="0">
                        <a:scrgbClr r="0" g="0" b="0"/>
                      </a:lnRef>
                      <a:fillRef idx="0">
                        <a:scrgbClr r="0" g="0" b="0"/>
                      </a:fillRef>
                      <a:effectRef idx="0">
                        <a:scrgbClr r="0" g="0" b="0"/>
                      </a:effectRef>
                      <a:fontRef idx="minor"/>
                    </wps:style>
                    <wps:txbx>
                      <w:txbxContent>
                        <w:p w:rsidR="00123812" w:rsidRPr="006F480E" w:rsidRDefault="008C4C71">
                          <w:pPr>
                            <w:pStyle w:val="Rahmeninhalt"/>
                            <w:pBdr>
                              <w:bottom w:val="single" w:sz="4" w:space="1" w:color="000000"/>
                            </w:pBdr>
                            <w:jc w:val="center"/>
                            <w:rPr>
                              <w:rFonts w:ascii="Garamond" w:hAnsi="Garamond" w:cstheme="minorHAnsi"/>
                              <w:color w:val="C45911" w:themeColor="accent2" w:themeShade="BF"/>
                            </w:rPr>
                          </w:pPr>
                          <w:r w:rsidRPr="006F480E">
                            <w:rPr>
                              <w:rFonts w:ascii="Garamond" w:hAnsi="Garamond" w:cstheme="minorHAnsi"/>
                              <w:color w:val="C45911" w:themeColor="accent2" w:themeShade="BF"/>
                            </w:rPr>
                            <w:t xml:space="preserve">Kaminstübchen 2025 </w:t>
                          </w:r>
                          <w:r w:rsidRPr="006F480E">
                            <w:rPr>
                              <w:rFonts w:ascii="Garamond" w:hAnsi="Garamond" w:cstheme="minorHAnsi"/>
                              <w:color w:val="C45911" w:themeColor="accent2" w:themeShade="BF"/>
                            </w:rPr>
                            <w:t>– Rotes Wasser – Roter Mond</w:t>
                          </w:r>
                        </w:p>
                      </w:txbxContent>
                    </wps:txbx>
                    <wps:bodyPr tIns="0" bIns="0" anchor="ctr" upright="1">
                      <a:spAutoFit/>
                    </wps:bodyPr>
                  </wps:wsp>
                </a:graphicData>
              </a:graphic>
              <wp14:sizeRelH relativeFrom="margin">
                <wp14:pctWidth>100000</wp14:pctWidth>
              </wp14:sizeRelH>
            </wp:anchor>
          </w:drawing>
        </mc:Choice>
        <mc:Fallback>
          <w:pict>
            <v:rect w14:anchorId="62C28C25" id="Textfeld 220" o:spid="_x0000_s1027" style="position:absolute;margin-left:0;margin-top:0;width:481.85pt;height:14.9pt;z-index:-251656192;visibility:visible;mso-wrap-style:square;mso-width-percent:1000;mso-wrap-distance-left:0;mso-wrap-distance-top:0;mso-wrap-distance-right:0;mso-wrap-distance-bottom:.05pt;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" o:allowincell="f" filled="f" stroked="f" strokeweight="0">
              <v:textbox style="mso-fit-shape-to-text:t" inset=",0,,0">
                <w:txbxContent>
                  <w:p w:rsidR="00123812" w:rsidRPr="006F480E" w:rsidRDefault="008C4C71">
                    <w:pPr>
                      <w:pStyle w:val="Rahmeninhalt"/>
                      <w:pBdr>
                        <w:bottom w:val="single" w:sz="4" w:space="1" w:color="000000"/>
                      </w:pBdr>
                      <w:jc w:val="center"/>
                      <w:rPr>
                        <w:rFonts w:ascii="Garamond" w:hAnsi="Garamond" w:cstheme="minorHAnsi"/>
                        <w:color w:val="C45911" w:themeColor="accent2" w:themeShade="BF"/>
                      </w:rPr>
                    </w:pPr>
                    <w:r w:rsidRPr="006F480E">
                      <w:rPr>
                        <w:rFonts w:ascii="Garamond" w:hAnsi="Garamond" w:cstheme="minorHAnsi"/>
                        <w:color w:val="C45911" w:themeColor="accent2" w:themeShade="BF"/>
                      </w:rPr>
                      <w:t xml:space="preserve">Kaminstübchen 2025 </w:t>
                    </w:r>
                    <w:r w:rsidRPr="006F480E">
                      <w:rPr>
                        <w:rFonts w:ascii="Garamond" w:hAnsi="Garamond" w:cstheme="minorHAnsi"/>
                        <w:color w:val="C45911" w:themeColor="accent2" w:themeShade="BF"/>
                      </w:rPr>
                      <w:t>– Rotes Wasser – Roter Mond</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71"/>
    <w:rsid w:val="008C4C71"/>
    <w:rsid w:val="00E84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84A8-CD2C-41FD-8486-BDE05D6C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4C71"/>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8C4C71"/>
    <w:rPr>
      <w:rFonts w:eastAsia="SimSun" w:cs="Mangal"/>
      <w:kern w:val="2"/>
      <w:sz w:val="24"/>
      <w:szCs w:val="21"/>
      <w:lang w:eastAsia="hi-IN" w:bidi="hi-IN"/>
    </w:rPr>
  </w:style>
  <w:style w:type="paragraph" w:styleId="Kopfzeile">
    <w:name w:val="header"/>
    <w:basedOn w:val="Standard"/>
    <w:link w:val="KopfzeileZchn"/>
    <w:uiPriority w:val="99"/>
    <w:unhideWhenUsed/>
    <w:rsid w:val="008C4C71"/>
    <w:pPr>
      <w:tabs>
        <w:tab w:val="center" w:pos="4536"/>
        <w:tab w:val="right" w:pos="9072"/>
      </w:tabs>
    </w:pPr>
    <w:rPr>
      <w:rFonts w:asciiTheme="minorHAnsi" w:hAnsiTheme="minorHAnsi"/>
      <w:szCs w:val="21"/>
    </w:rPr>
  </w:style>
  <w:style w:type="character" w:customStyle="1" w:styleId="KopfzeileZchn1">
    <w:name w:val="Kopfzeile Zchn1"/>
    <w:basedOn w:val="Absatz-Standardschriftart"/>
    <w:uiPriority w:val="99"/>
    <w:semiHidden/>
    <w:rsid w:val="008C4C71"/>
    <w:rPr>
      <w:rFonts w:ascii="Times New Roman" w:eastAsia="SimSun" w:hAnsi="Times New Roman" w:cs="Mangal"/>
      <w:kern w:val="2"/>
      <w:sz w:val="24"/>
      <w:szCs w:val="21"/>
      <w:lang w:eastAsia="hi-IN" w:bidi="hi-IN"/>
    </w:rPr>
  </w:style>
  <w:style w:type="paragraph" w:customStyle="1" w:styleId="Rahmeninhalt">
    <w:name w:val="Rahmeninhalt"/>
    <w:basedOn w:val="Standard"/>
    <w:qFormat/>
    <w:rsid w:val="008C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5278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1</cp:revision>
  <dcterms:created xsi:type="dcterms:W3CDTF">2025-03-12T16:52:00Z</dcterms:created>
  <dcterms:modified xsi:type="dcterms:W3CDTF">2025-03-12T16:53:00Z</dcterms:modified>
</cp:coreProperties>
</file>