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134D" w:rsidRPr="0008134D" w:rsidRDefault="0008134D" w:rsidP="0008134D">
      <w:pPr>
        <w:autoSpaceDE w:val="0"/>
        <w:autoSpaceDN w:val="0"/>
        <w:adjustRightInd w:val="0"/>
        <w:rPr>
          <w:rFonts w:ascii="GentiumBasic-Bold" w:hAnsi="GentiumBasic-Bold" w:cs="GentiumBasic-Bold"/>
          <w:b/>
          <w:bCs/>
          <w:sz w:val="40"/>
          <w:szCs w:val="26"/>
        </w:rPr>
      </w:pPr>
      <w:r w:rsidRPr="0008134D">
        <w:rPr>
          <w:rFonts w:ascii="GentiumBasic-Bold" w:hAnsi="GentiumBasic-Bold" w:cs="GentiumBasic-Bold"/>
          <w:b/>
          <w:bCs/>
          <w:sz w:val="40"/>
          <w:szCs w:val="26"/>
        </w:rPr>
        <w:t>Steinassel</w:t>
      </w:r>
    </w:p>
    <w:p w:rsidR="0008134D" w:rsidRDefault="0008134D" w:rsidP="0008134D">
      <w:pPr>
        <w:autoSpaceDE w:val="0"/>
        <w:autoSpaceDN w:val="0"/>
        <w:adjustRightInd w:val="0"/>
        <w:rPr>
          <w:rFonts w:ascii="GentiumBasic-Bold" w:hAnsi="GentiumBasic-Bold" w:cs="GentiumBasic-Bold"/>
          <w:b/>
          <w:bCs/>
          <w:sz w:val="26"/>
          <w:szCs w:val="26"/>
        </w:rPr>
      </w:pPr>
    </w:p>
    <w:p w:rsidR="0008134D" w:rsidRDefault="0008134D" w:rsidP="0008134D">
      <w:pPr>
        <w:autoSpaceDE w:val="0"/>
        <w:autoSpaceDN w:val="0"/>
        <w:adjustRightInd w:val="0"/>
        <w:rPr>
          <w:rFonts w:ascii="GentiumBasic" w:hAnsi="GentiumBasic" w:cs="GentiumBasic"/>
          <w:sz w:val="20"/>
          <w:szCs w:val="20"/>
        </w:rPr>
      </w:pPr>
      <w:r>
        <w:rPr>
          <w:rFonts w:ascii="GentiumBasic" w:hAnsi="GentiumBasic" w:cs="GentiumBasic"/>
          <w:sz w:val="20"/>
          <w:szCs w:val="20"/>
        </w:rPr>
        <w:t>Diese nahen Verwandten der Gruftasseln sind etw</w:t>
      </w:r>
      <w:bookmarkStart w:id="0" w:name="_GoBack"/>
      <w:bookmarkEnd w:id="0"/>
      <w:r>
        <w:rPr>
          <w:rFonts w:ascii="GentiumBasic" w:hAnsi="GentiumBasic" w:cs="GentiumBasic"/>
          <w:sz w:val="20"/>
          <w:szCs w:val="20"/>
        </w:rPr>
        <w:t>a einen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halben Schritt lang und etwa zehn bis zwanzig</w:t>
      </w:r>
    </w:p>
    <w:p w:rsidR="0008134D" w:rsidRDefault="0008134D" w:rsidP="0008134D">
      <w:pPr>
        <w:autoSpaceDE w:val="0"/>
        <w:autoSpaceDN w:val="0"/>
        <w:adjustRightInd w:val="0"/>
        <w:rPr>
          <w:rFonts w:ascii="GentiumBasic" w:hAnsi="GentiumBasic" w:cs="GentiumBasic"/>
          <w:sz w:val="20"/>
          <w:szCs w:val="20"/>
        </w:rPr>
      </w:pPr>
      <w:r>
        <w:rPr>
          <w:rFonts w:ascii="GentiumBasic" w:hAnsi="GentiumBasic" w:cs="GentiumBasic"/>
          <w:sz w:val="20"/>
          <w:szCs w:val="20"/>
        </w:rPr>
        <w:t>Halbfinger hoch. Die Steinassel ist von gräulicher bis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weißer Farbe und ähnelt ansonsten einer Kellerassel.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Ihre Mandibeln sind sehr stark und sie ist damit in der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Lage, Stein zu spalten. Zusätzlich sorgt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die Säure in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ihrem Speichel für eine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bessere Zersetzung des Gesteins, sodass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es die Tiere leichter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haben, größere Brocken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herauszubrechen. Ihre Intelligenz ist mit der eines Hundes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vergleichbar, in größeren Gruppen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sind sie jedoch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ähnlich wie Ameisen zu erstaunlichen Leistungen fähig.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Fast alle Steinasseln leben in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Nestern und vermehren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sich durch Eiablage. Sie können ein Alter von bis zu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zehn Jahren erreichen. Ein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Großteil der Steinasseln wird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von Wühlschraten als Nutzvieh gehalten. Da sie nur wenig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Interesse haben,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ihr Territorium zu verlassen, ist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die Steinasselhaltung für die Schrate keine sonderlich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schwere Aufgabe.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Wie ihre Herren scheuen Steinasseln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das Licht und bleiben lieber unter der Erde.</w:t>
      </w:r>
    </w:p>
    <w:p w:rsidR="0008134D" w:rsidRDefault="0008134D" w:rsidP="0008134D">
      <w:pPr>
        <w:autoSpaceDE w:val="0"/>
        <w:autoSpaceDN w:val="0"/>
        <w:adjustRightInd w:val="0"/>
        <w:rPr>
          <w:rFonts w:ascii="GentiumBasic-Bold" w:hAnsi="GentiumBasic-Bold" w:cs="GentiumBasic-Bold"/>
          <w:b/>
          <w:bCs/>
          <w:sz w:val="20"/>
          <w:szCs w:val="20"/>
        </w:rPr>
      </w:pPr>
    </w:p>
    <w:p w:rsidR="0008134D" w:rsidRDefault="0008134D" w:rsidP="0008134D">
      <w:pPr>
        <w:autoSpaceDE w:val="0"/>
        <w:autoSpaceDN w:val="0"/>
        <w:adjustRightInd w:val="0"/>
        <w:rPr>
          <w:rFonts w:ascii="GentiumBasic-Bold" w:hAnsi="GentiumBasic-Bold" w:cs="GentiumBasic-Bold"/>
          <w:b/>
          <w:bCs/>
          <w:sz w:val="20"/>
          <w:szCs w:val="20"/>
        </w:rPr>
      </w:pPr>
      <w:r w:rsidRPr="0008134D">
        <w:rPr>
          <w:rFonts w:ascii="GentiumBasic-Bold" w:hAnsi="GentiumBasic-Bold" w:cs="GentiumBasic-Bold"/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3691255</wp:posOffset>
            </wp:positionH>
            <wp:positionV relativeFrom="paragraph">
              <wp:posOffset>11130</wp:posOffset>
            </wp:positionV>
            <wp:extent cx="3364230" cy="6409690"/>
            <wp:effectExtent l="0" t="0" r="7620" b="0"/>
            <wp:wrapTight wrapText="bothSides">
              <wp:wrapPolygon edited="0">
                <wp:start x="0" y="0"/>
                <wp:lineTo x="0" y="21506"/>
                <wp:lineTo x="21527" y="21506"/>
                <wp:lineTo x="21527" y="0"/>
                <wp:lineTo x="0" y="0"/>
              </wp:wrapPolygon>
            </wp:wrapTight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230" cy="640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entiumBasic-Bold" w:hAnsi="GentiumBasic-Bold" w:cs="GentiumBasic-Bold"/>
          <w:b/>
          <w:bCs/>
          <w:sz w:val="20"/>
          <w:szCs w:val="20"/>
        </w:rPr>
        <w:t>Verbreitung</w:t>
      </w:r>
    </w:p>
    <w:p w:rsidR="0008134D" w:rsidRDefault="0008134D" w:rsidP="0008134D">
      <w:pPr>
        <w:autoSpaceDE w:val="0"/>
        <w:autoSpaceDN w:val="0"/>
        <w:adjustRightInd w:val="0"/>
        <w:rPr>
          <w:rFonts w:ascii="GentiumBasic" w:hAnsi="GentiumBasic" w:cs="GentiumBasic"/>
          <w:sz w:val="20"/>
          <w:szCs w:val="20"/>
        </w:rPr>
      </w:pPr>
      <w:r>
        <w:rPr>
          <w:rFonts w:ascii="GentiumBasic" w:hAnsi="GentiumBasic" w:cs="GentiumBasic"/>
          <w:sz w:val="20"/>
          <w:szCs w:val="20"/>
        </w:rPr>
        <w:t>Fast nie kamen diese Wesen bisher an die Oberfläche,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obwohl sie bereits seit langer Zeit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unter der Gerondrata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leben. Sie waren bisher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nahezu ausschließlich unterirdisch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aktiv und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haben sich in den Hohlräumen des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porösen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Gesteins eingerichtet. Erst mit dem Sternenfall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und den dadurch entstandenen überirdischen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Öffnungen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 xml:space="preserve">der Höhlen, treten sie etwa in </w:t>
      </w:r>
      <w:proofErr w:type="spellStart"/>
      <w:r>
        <w:rPr>
          <w:rFonts w:ascii="GentiumBasic" w:hAnsi="GentiumBasic" w:cs="GentiumBasic"/>
          <w:sz w:val="20"/>
          <w:szCs w:val="20"/>
        </w:rPr>
        <w:t>Arivor</w:t>
      </w:r>
      <w:proofErr w:type="spellEnd"/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auch an der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Oberfläche auf. Jedoch treiben sie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sich nur nachts herum,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denn sie sind sehr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lichtempfindlich. Normalerweise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achten die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Wühlschrate darauf, dass ihre Nutztiere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weiterhin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nicht an die Oberfläche gelangen.</w:t>
      </w:r>
    </w:p>
    <w:p w:rsidR="0008134D" w:rsidRDefault="0008134D" w:rsidP="0008134D">
      <w:pPr>
        <w:autoSpaceDE w:val="0"/>
        <w:autoSpaceDN w:val="0"/>
        <w:adjustRightInd w:val="0"/>
        <w:rPr>
          <w:rFonts w:ascii="GentiumBasic-Bold" w:hAnsi="GentiumBasic-Bold" w:cs="GentiumBasic-Bold"/>
          <w:b/>
          <w:bCs/>
          <w:sz w:val="20"/>
          <w:szCs w:val="20"/>
        </w:rPr>
      </w:pPr>
    </w:p>
    <w:p w:rsidR="0008134D" w:rsidRDefault="0008134D" w:rsidP="0008134D">
      <w:pPr>
        <w:autoSpaceDE w:val="0"/>
        <w:autoSpaceDN w:val="0"/>
        <w:adjustRightInd w:val="0"/>
        <w:rPr>
          <w:rFonts w:ascii="GentiumBasic-Bold" w:hAnsi="GentiumBasic-Bold" w:cs="GentiumBasic-Bold"/>
          <w:b/>
          <w:bCs/>
          <w:sz w:val="20"/>
          <w:szCs w:val="20"/>
        </w:rPr>
      </w:pPr>
      <w:r>
        <w:rPr>
          <w:rFonts w:ascii="GentiumBasic-Bold" w:hAnsi="GentiumBasic-Bold" w:cs="GentiumBasic-Bold"/>
          <w:b/>
          <w:bCs/>
          <w:sz w:val="20"/>
          <w:szCs w:val="20"/>
        </w:rPr>
        <w:t>Lebensweise</w:t>
      </w:r>
    </w:p>
    <w:p w:rsidR="0008134D" w:rsidRDefault="0008134D" w:rsidP="0008134D">
      <w:pPr>
        <w:autoSpaceDE w:val="0"/>
        <w:autoSpaceDN w:val="0"/>
        <w:adjustRightInd w:val="0"/>
        <w:rPr>
          <w:rFonts w:ascii="GentiumBasic" w:hAnsi="GentiumBasic" w:cs="GentiumBasic"/>
          <w:sz w:val="20"/>
          <w:szCs w:val="20"/>
        </w:rPr>
      </w:pPr>
      <w:r>
        <w:rPr>
          <w:rFonts w:ascii="GentiumBasic" w:hAnsi="GentiumBasic" w:cs="GentiumBasic"/>
          <w:sz w:val="20"/>
          <w:szCs w:val="20"/>
        </w:rPr>
        <w:t>Wenn die Steinassel nicht gerade bedroht wird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oder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frisst, verfällt sie meistens in eine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Schlafstarre, die von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Stunden bis hin zu Wochen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andauern kann. Ihren Namen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hat die Steinassel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von der Art ihrer Nahrungssuche.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Wie die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Wühlschrate beißt sie sich durch das Gestein,</w:t>
      </w:r>
    </w:p>
    <w:p w:rsidR="0008134D" w:rsidRDefault="0008134D" w:rsidP="0008134D">
      <w:pPr>
        <w:autoSpaceDE w:val="0"/>
        <w:autoSpaceDN w:val="0"/>
        <w:adjustRightInd w:val="0"/>
        <w:rPr>
          <w:rFonts w:ascii="GentiumBasic" w:hAnsi="GentiumBasic" w:cs="GentiumBasic"/>
          <w:sz w:val="20"/>
          <w:szCs w:val="20"/>
        </w:rPr>
      </w:pPr>
      <w:r>
        <w:rPr>
          <w:rFonts w:ascii="GentiumBasic" w:hAnsi="GentiumBasic" w:cs="GentiumBasic"/>
          <w:sz w:val="20"/>
          <w:szCs w:val="20"/>
        </w:rPr>
        <w:t>jedoch wesentlich langsamer als die Schrate. Sie</w:t>
      </w:r>
    </w:p>
    <w:p w:rsidR="00B478EC" w:rsidRPr="0008134D" w:rsidRDefault="0008134D" w:rsidP="0008134D">
      <w:pPr>
        <w:autoSpaceDE w:val="0"/>
        <w:autoSpaceDN w:val="0"/>
        <w:adjustRightInd w:val="0"/>
        <w:rPr>
          <w:rFonts w:ascii="GentiumBasic" w:hAnsi="GentiumBasic" w:cs="GentiumBasic"/>
          <w:sz w:val="20"/>
          <w:szCs w:val="20"/>
        </w:rPr>
      </w:pPr>
      <w:r>
        <w:rPr>
          <w:rFonts w:ascii="GentiumBasic" w:hAnsi="GentiumBasic" w:cs="GentiumBasic"/>
          <w:sz w:val="20"/>
          <w:szCs w:val="20"/>
        </w:rPr>
        <w:t>frisst den Stein meist nicht, sondern versucht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stattdessen,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Käfer und Würmer aufzuscheuchen,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die sich in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den Gesteinsspalten festgesetzt haben.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Ein besonderer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Leckerbissen scheint Kalk zu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sein, der die Assel geradezu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magisch anzieht. Die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Wühlschrate halten sich die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Steinassel als Nutztiere. Sie schützen die Asseln und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brechen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härteren Stein für sie auf. Dafür lassen sich die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Asseln von ihnen melken. Die so gewonnene</w:t>
      </w:r>
      <w:r>
        <w:rPr>
          <w:rFonts w:ascii="GentiumBasic" w:hAnsi="GentiumBasic" w:cs="GentiumBasic"/>
          <w:sz w:val="20"/>
          <w:szCs w:val="20"/>
        </w:rPr>
        <w:t xml:space="preserve"> </w:t>
      </w:r>
      <w:proofErr w:type="spellStart"/>
      <w:r>
        <w:rPr>
          <w:rFonts w:ascii="GentiumBasic" w:hAnsi="GentiumBasic" w:cs="GentiumBasic"/>
          <w:sz w:val="20"/>
          <w:szCs w:val="20"/>
        </w:rPr>
        <w:t>Asselmilch</w:t>
      </w:r>
      <w:proofErr w:type="spellEnd"/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ist für die Wühlschrate so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berauschend wie Alkohol.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Eine besondere Gefahr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geht von der Koordinations</w:t>
      </w:r>
      <w:r>
        <w:rPr>
          <w:rFonts w:ascii="GentiumBasic" w:hAnsi="GentiumBasic" w:cs="GentiumBasic"/>
          <w:sz w:val="20"/>
          <w:szCs w:val="20"/>
        </w:rPr>
        <w:t>f</w:t>
      </w:r>
      <w:r>
        <w:rPr>
          <w:rFonts w:ascii="GentiumBasic" w:hAnsi="GentiumBasic" w:cs="GentiumBasic"/>
          <w:sz w:val="20"/>
          <w:szCs w:val="20"/>
        </w:rPr>
        <w:t>ähigkeit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der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Steinasseln aus. Ähnlich wie Ameisen sind</w:t>
      </w:r>
      <w:r>
        <w:rPr>
          <w:rFonts w:ascii="GentiumBasic" w:hAnsi="GentiumBasic" w:cs="GentiumBasic"/>
          <w:sz w:val="20"/>
          <w:szCs w:val="20"/>
        </w:rPr>
        <w:t xml:space="preserve"> S</w:t>
      </w:r>
      <w:r>
        <w:rPr>
          <w:rFonts w:ascii="GentiumBasic" w:hAnsi="GentiumBasic" w:cs="GentiumBasic"/>
          <w:sz w:val="20"/>
          <w:szCs w:val="20"/>
        </w:rPr>
        <w:t>ie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im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Kampf in der Lage, taktisch geschickt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vorzugehen,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setzen Späher ein, sorgen für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Ablenkung oder greifen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gemeinsam einen Gegner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an. Zwar fressen Steinasseln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vor allem Käfer,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aber sie verschmähen auch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Menschenfleisch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nicht, wenn sie erstmal auf den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Geschmack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gekommen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sind und die Gelegenheit günstig</w:t>
      </w:r>
      <w:r>
        <w:rPr>
          <w:rFonts w:ascii="GentiumBasic" w:hAnsi="GentiumBasic" w:cs="GentiumBasic"/>
          <w:sz w:val="20"/>
          <w:szCs w:val="20"/>
        </w:rPr>
        <w:t xml:space="preserve"> </w:t>
      </w:r>
      <w:r>
        <w:rPr>
          <w:rFonts w:ascii="GentiumBasic" w:hAnsi="GentiumBasic" w:cs="GentiumBasic"/>
          <w:sz w:val="20"/>
          <w:szCs w:val="20"/>
        </w:rPr>
        <w:t>ist.</w:t>
      </w:r>
    </w:p>
    <w:sectPr w:rsidR="00B478EC" w:rsidRPr="0008134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tiumBasic-Bold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ntiumBasic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34D"/>
    <w:rsid w:val="0008134D"/>
    <w:rsid w:val="00B478EC"/>
    <w:rsid w:val="00C00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357A8"/>
  <w15:chartTrackingRefBased/>
  <w15:docId w15:val="{1422D5EA-DC55-4990-A92F-217BA1D5B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00E0C"/>
    <w:pPr>
      <w:spacing w:after="0" w:line="24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389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Windows-Benutzer</dc:creator>
  <cp:keywords/>
  <dc:description/>
  <cp:lastModifiedBy>Windows-Benutzer</cp:lastModifiedBy>
  <cp:revision>1</cp:revision>
  <dcterms:created xsi:type="dcterms:W3CDTF">2022-09-29T12:10:00Z</dcterms:created>
  <dcterms:modified xsi:type="dcterms:W3CDTF">2022-09-29T12:22:00Z</dcterms:modified>
</cp:coreProperties>
</file>